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292CA">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24FE2695">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73581F46">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41922E78">
      <w:pPr>
        <w:snapToGrid w:val="0"/>
        <w:spacing w:line="360" w:lineRule="auto"/>
        <w:ind w:right="-447"/>
        <w:rPr>
          <w:rFonts w:hint="eastAsia" w:ascii="仿宋" w:hAnsi="仿宋" w:eastAsia="仿宋" w:cs="仿宋"/>
          <w:b/>
          <w:color w:val="auto"/>
          <w:sz w:val="36"/>
          <w:szCs w:val="48"/>
          <w:highlight w:val="none"/>
        </w:rPr>
      </w:pPr>
    </w:p>
    <w:p w14:paraId="64CF858E">
      <w:pPr>
        <w:snapToGrid w:val="0"/>
        <w:spacing w:line="360" w:lineRule="auto"/>
        <w:ind w:right="-447"/>
        <w:jc w:val="center"/>
        <w:rPr>
          <w:rFonts w:hint="eastAsia" w:ascii="宋体" w:hAnsi="宋体" w:eastAsia="宋体" w:cs="Times New Roman"/>
          <w:b/>
          <w:color w:val="auto"/>
          <w:sz w:val="32"/>
          <w:szCs w:val="32"/>
          <w:highlight w:val="none"/>
          <w:lang w:val="en-US" w:eastAsia="zh-CN"/>
        </w:rPr>
      </w:pPr>
      <w:r>
        <w:rPr>
          <w:rFonts w:hint="eastAsia" w:ascii="宋体" w:hAnsi="宋体" w:eastAsia="宋体" w:cs="Times New Roman"/>
          <w:b/>
          <w:color w:val="auto"/>
          <w:sz w:val="32"/>
          <w:szCs w:val="32"/>
          <w:highlight w:val="none"/>
          <w:lang w:val="en-US" w:eastAsia="zh-CN"/>
        </w:rPr>
        <w:t>下密阀板密封圈D3302-02 耐高温硅胶 T≥315℃</w:t>
      </w:r>
    </w:p>
    <w:p w14:paraId="4108739A">
      <w:pPr>
        <w:snapToGrid w:val="0"/>
        <w:spacing w:line="360" w:lineRule="auto"/>
        <w:ind w:right="-447"/>
        <w:jc w:val="center"/>
        <w:rPr>
          <w:rFonts w:hint="eastAsia" w:ascii="宋体" w:hAnsi="宋体" w:cs="Times New Roman"/>
          <w:b/>
          <w:color w:val="auto"/>
          <w:sz w:val="32"/>
          <w:szCs w:val="32"/>
          <w:highlight w:val="none"/>
          <w:lang w:val="en-US" w:eastAsia="zh-CN"/>
        </w:rPr>
      </w:pPr>
      <w:r>
        <w:rPr>
          <w:rFonts w:hint="eastAsia" w:ascii="宋体" w:hAnsi="宋体" w:cs="Times New Roman"/>
          <w:b/>
          <w:color w:val="auto"/>
          <w:sz w:val="32"/>
          <w:szCs w:val="32"/>
          <w:highlight w:val="none"/>
          <w:lang w:val="en-US" w:eastAsia="zh-CN"/>
        </w:rPr>
        <w:t xml:space="preserve"> </w:t>
      </w:r>
    </w:p>
    <w:p w14:paraId="1408C9B4">
      <w:pPr>
        <w:snapToGrid w:val="0"/>
        <w:spacing w:line="360" w:lineRule="auto"/>
        <w:ind w:right="-447"/>
        <w:jc w:val="center"/>
        <w:rPr>
          <w:rFonts w:hint="default" w:ascii="仿宋" w:hAnsi="仿宋" w:eastAsia="仿宋" w:cs="仿宋"/>
          <w:b/>
          <w:color w:val="auto"/>
          <w:sz w:val="36"/>
          <w:szCs w:val="48"/>
          <w:highlight w:val="none"/>
          <w:lang w:val="en-US" w:eastAsia="zh-CN"/>
        </w:rPr>
      </w:pPr>
      <w:r>
        <w:rPr>
          <w:rFonts w:hint="eastAsia" w:ascii="宋体" w:hAnsi="宋体" w:eastAsia="宋体" w:cs="Times New Roman"/>
          <w:b/>
          <w:color w:val="auto"/>
          <w:sz w:val="32"/>
          <w:szCs w:val="32"/>
          <w:highlight w:val="none"/>
          <w:lang w:val="en-US" w:eastAsia="zh-CN"/>
        </w:rPr>
        <w:t>(</w:t>
      </w:r>
      <w:r>
        <w:rPr>
          <w:rFonts w:hint="eastAsia" w:ascii="宋体" w:hAnsi="宋体" w:cs="Times New Roman"/>
          <w:b/>
          <w:color w:val="auto"/>
          <w:sz w:val="32"/>
          <w:szCs w:val="32"/>
          <w:highlight w:val="none"/>
          <w:lang w:val="en-US" w:eastAsia="zh-CN"/>
        </w:rPr>
        <w:t>70361159</w:t>
      </w:r>
      <w:r>
        <w:rPr>
          <w:rFonts w:hint="eastAsia" w:ascii="宋体" w:hAnsi="宋体" w:eastAsia="宋体" w:cs="Times New Roman"/>
          <w:b/>
          <w:color w:val="auto"/>
          <w:sz w:val="32"/>
          <w:szCs w:val="32"/>
          <w:highlight w:val="none"/>
          <w:lang w:val="en-US" w:eastAsia="zh-CN"/>
        </w:rPr>
        <w:t>)</w:t>
      </w:r>
    </w:p>
    <w:p w14:paraId="71FD2889">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02EFF7A2">
      <w:pPr>
        <w:snapToGrid w:val="0"/>
        <w:spacing w:line="360" w:lineRule="auto"/>
        <w:ind w:right="-447"/>
        <w:jc w:val="center"/>
        <w:rPr>
          <w:rFonts w:hint="eastAsia" w:ascii="仿宋" w:hAnsi="仿宋" w:eastAsia="仿宋" w:cs="仿宋"/>
          <w:b/>
          <w:color w:val="auto"/>
          <w:sz w:val="36"/>
          <w:szCs w:val="48"/>
          <w:highlight w:val="none"/>
        </w:rPr>
      </w:pPr>
    </w:p>
    <w:p w14:paraId="1CA8F58D">
      <w:pPr>
        <w:snapToGrid w:val="0"/>
        <w:spacing w:line="360" w:lineRule="auto"/>
        <w:ind w:right="-447"/>
        <w:jc w:val="center"/>
        <w:rPr>
          <w:rFonts w:hint="eastAsia" w:ascii="仿宋" w:hAnsi="仿宋" w:eastAsia="仿宋" w:cs="仿宋"/>
          <w:b/>
          <w:color w:val="auto"/>
          <w:sz w:val="36"/>
          <w:szCs w:val="48"/>
          <w:highlight w:val="none"/>
        </w:rPr>
      </w:pPr>
    </w:p>
    <w:p w14:paraId="495F3A08">
      <w:pPr>
        <w:pStyle w:val="2"/>
        <w:rPr>
          <w:rFonts w:hint="eastAsia" w:ascii="仿宋" w:hAnsi="仿宋" w:eastAsia="仿宋" w:cs="仿宋"/>
          <w:color w:val="auto"/>
          <w:highlight w:val="none"/>
        </w:rPr>
      </w:pPr>
    </w:p>
    <w:p w14:paraId="1C16B9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D714651">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54DA385">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4627345A">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5E025B0">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4DAF14BB">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0FBE8F15">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lang w:val="en-US" w:eastAsia="zh-CN"/>
        </w:rPr>
        <w:t xml:space="preserve">   2026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日</w:t>
      </w:r>
    </w:p>
    <w:p w14:paraId="7F7AB032">
      <w:pPr>
        <w:spacing w:line="360" w:lineRule="auto"/>
        <w:rPr>
          <w:rFonts w:hint="eastAsia" w:ascii="仿宋" w:hAnsi="仿宋" w:eastAsia="仿宋" w:cs="仿宋"/>
          <w:bCs/>
          <w:color w:val="auto"/>
          <w:highlight w:val="none"/>
        </w:rPr>
      </w:pPr>
    </w:p>
    <w:p w14:paraId="2E3C9E92">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5ECC69D">
      <w:pPr>
        <w:spacing w:line="360" w:lineRule="auto"/>
        <w:ind w:firstLine="3791" w:firstLineChars="1049"/>
        <w:rPr>
          <w:rFonts w:hint="eastAsia" w:ascii="仿宋" w:hAnsi="仿宋" w:eastAsia="仿宋" w:cs="仿宋"/>
          <w:b/>
          <w:color w:val="auto"/>
          <w:sz w:val="36"/>
          <w:szCs w:val="36"/>
          <w:highlight w:val="none"/>
        </w:rPr>
      </w:pPr>
    </w:p>
    <w:p w14:paraId="38E12469">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4F29D1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3513AF22">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630E975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9D4E93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130755D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387B6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25CDDD77">
      <w:pPr>
        <w:snapToGrid w:val="0"/>
        <w:spacing w:line="360" w:lineRule="auto"/>
        <w:ind w:right="-447"/>
        <w:jc w:val="both"/>
        <w:rPr>
          <w:rFonts w:hint="eastAsia" w:ascii="仿宋" w:hAnsi="仿宋" w:eastAsia="仿宋" w:cs="仿宋"/>
          <w:b/>
          <w:color w:val="auto"/>
          <w:sz w:val="28"/>
          <w:szCs w:val="28"/>
          <w:highlight w:val="none"/>
        </w:rPr>
      </w:pPr>
    </w:p>
    <w:p w14:paraId="6645B55E">
      <w:pPr>
        <w:snapToGrid w:val="0"/>
        <w:spacing w:line="360" w:lineRule="auto"/>
        <w:ind w:right="-447"/>
        <w:jc w:val="both"/>
        <w:rPr>
          <w:rFonts w:hint="eastAsia" w:ascii="仿宋" w:hAnsi="仿宋" w:eastAsia="仿宋" w:cs="仿宋"/>
          <w:b/>
          <w:color w:val="auto"/>
          <w:sz w:val="28"/>
          <w:szCs w:val="28"/>
          <w:highlight w:val="none"/>
        </w:rPr>
      </w:pPr>
    </w:p>
    <w:p w14:paraId="681F9745">
      <w:pPr>
        <w:snapToGrid w:val="0"/>
        <w:spacing w:line="360" w:lineRule="auto"/>
        <w:ind w:right="-447"/>
        <w:jc w:val="both"/>
        <w:rPr>
          <w:rFonts w:hint="eastAsia" w:ascii="仿宋" w:hAnsi="仿宋" w:eastAsia="仿宋" w:cs="仿宋"/>
          <w:b/>
          <w:color w:val="auto"/>
          <w:sz w:val="28"/>
          <w:szCs w:val="28"/>
          <w:highlight w:val="none"/>
        </w:rPr>
      </w:pPr>
    </w:p>
    <w:p w14:paraId="28D45CB9">
      <w:pPr>
        <w:snapToGrid w:val="0"/>
        <w:spacing w:line="360" w:lineRule="auto"/>
        <w:ind w:right="-447"/>
        <w:jc w:val="both"/>
        <w:rPr>
          <w:rFonts w:hint="eastAsia" w:ascii="仿宋" w:hAnsi="仿宋" w:eastAsia="仿宋" w:cs="仿宋"/>
          <w:b/>
          <w:color w:val="auto"/>
          <w:sz w:val="28"/>
          <w:szCs w:val="28"/>
          <w:highlight w:val="none"/>
        </w:rPr>
      </w:pPr>
    </w:p>
    <w:p w14:paraId="05B07747">
      <w:pPr>
        <w:snapToGrid w:val="0"/>
        <w:spacing w:line="360" w:lineRule="auto"/>
        <w:ind w:right="-447"/>
        <w:jc w:val="both"/>
        <w:rPr>
          <w:rFonts w:hint="eastAsia" w:ascii="仿宋" w:hAnsi="仿宋" w:eastAsia="仿宋" w:cs="仿宋"/>
          <w:b/>
          <w:color w:val="auto"/>
          <w:sz w:val="28"/>
          <w:szCs w:val="28"/>
          <w:highlight w:val="none"/>
        </w:rPr>
      </w:pPr>
    </w:p>
    <w:p w14:paraId="23B1DD3C">
      <w:pPr>
        <w:snapToGrid w:val="0"/>
        <w:spacing w:line="360" w:lineRule="auto"/>
        <w:ind w:right="-447"/>
        <w:jc w:val="both"/>
        <w:rPr>
          <w:rFonts w:hint="eastAsia" w:ascii="仿宋" w:hAnsi="仿宋" w:eastAsia="仿宋" w:cs="仿宋"/>
          <w:b/>
          <w:color w:val="auto"/>
          <w:sz w:val="28"/>
          <w:szCs w:val="28"/>
          <w:highlight w:val="none"/>
        </w:rPr>
      </w:pPr>
    </w:p>
    <w:p w14:paraId="40FD2BD7">
      <w:pPr>
        <w:snapToGrid w:val="0"/>
        <w:spacing w:line="360" w:lineRule="auto"/>
        <w:ind w:right="-447"/>
        <w:jc w:val="both"/>
        <w:rPr>
          <w:rFonts w:hint="eastAsia" w:ascii="仿宋" w:hAnsi="仿宋" w:eastAsia="仿宋" w:cs="仿宋"/>
          <w:b/>
          <w:color w:val="auto"/>
          <w:sz w:val="28"/>
          <w:szCs w:val="28"/>
          <w:highlight w:val="none"/>
        </w:rPr>
      </w:pPr>
    </w:p>
    <w:p w14:paraId="4C041C2C">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2BBD4209">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304887B6">
      <w:pPr>
        <w:snapToGrid w:val="0"/>
        <w:spacing w:line="360" w:lineRule="auto"/>
        <w:ind w:right="-447" w:firstLine="840" w:firstLineChars="4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val="en-US" w:eastAsia="zh-CN"/>
        </w:rPr>
        <w:t>下密阀板密封圈D3302-02 耐高温硅胶 T≥315℃</w:t>
      </w:r>
      <w:r>
        <w:rPr>
          <w:rFonts w:hint="eastAsia" w:ascii="仿宋" w:hAnsi="仿宋" w:eastAsia="仿宋" w:cs="仿宋"/>
          <w:color w:val="auto"/>
          <w:sz w:val="21"/>
          <w:szCs w:val="21"/>
          <w:highlight w:val="none"/>
        </w:rPr>
        <w:t>采购经双方协商，达成如下技术协议：</w:t>
      </w:r>
    </w:p>
    <w:p w14:paraId="16797A0E">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0C7A5FC7">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551EA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656E62F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0C315F00">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034114EE">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36B9A70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1.5乙方须对密封圈的完整性、合理性和设计质量承担全部责任。保证设备满足系统工艺要求。</w:t>
      </w:r>
    </w:p>
    <w:p w14:paraId="75E5E396">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7A24EF51">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4B98775E">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051328C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3DC9D98">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2.1.1工况温度：300℃，事故温度：540℃（不超过30分钟）</w:t>
      </w:r>
    </w:p>
    <w:p w14:paraId="50B3FE32">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2.1.2工作介质：高炉煤气、粉尘、蒸汽等气体介质</w:t>
      </w:r>
    </w:p>
    <w:p w14:paraId="54B1BCE6">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2.1.3工作压力：0.2MPa</w:t>
      </w:r>
    </w:p>
    <w:p w14:paraId="38A8FB3D">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bookmarkEnd w:id="0"/>
    <w:p w14:paraId="37C1A6D1">
      <w:pPr>
        <w:spacing w:line="360" w:lineRule="auto"/>
        <w:ind w:firstLine="420" w:firstLineChars="200"/>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1.密封圈</w:t>
      </w:r>
      <w:r>
        <w:rPr>
          <w:rFonts w:hint="default" w:ascii="仿宋" w:hAnsi="仿宋" w:eastAsia="仿宋" w:cs="仿宋"/>
          <w:color w:val="auto"/>
          <w:sz w:val="21"/>
          <w:szCs w:val="21"/>
          <w:highlight w:val="none"/>
          <w:lang w:val="en-US" w:eastAsia="zh-CN"/>
        </w:rPr>
        <w:t>尺寸需现场测绘，测绘完毕出具图纸，甲方确认完毕方可制造；</w:t>
      </w:r>
    </w:p>
    <w:p w14:paraId="013731FB">
      <w:pPr>
        <w:spacing w:line="360" w:lineRule="auto"/>
        <w:ind w:firstLine="420" w:firstLineChars="20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2.所做</w:t>
      </w:r>
      <w:r>
        <w:rPr>
          <w:rFonts w:hint="eastAsia" w:ascii="仿宋" w:hAnsi="仿宋" w:eastAsia="仿宋" w:cs="仿宋"/>
          <w:color w:val="auto"/>
          <w:sz w:val="21"/>
          <w:szCs w:val="21"/>
          <w:highlight w:val="none"/>
          <w:lang w:val="en-US" w:eastAsia="zh-CN"/>
        </w:rPr>
        <w:t>密封圈</w:t>
      </w:r>
      <w:r>
        <w:rPr>
          <w:rFonts w:hint="default" w:ascii="仿宋" w:hAnsi="仿宋" w:eastAsia="仿宋" w:cs="仿宋"/>
          <w:color w:val="auto"/>
          <w:sz w:val="21"/>
          <w:szCs w:val="21"/>
          <w:highlight w:val="none"/>
          <w:lang w:val="en-US" w:eastAsia="zh-CN"/>
        </w:rPr>
        <w:t>必须耐高温540℃以上；</w:t>
      </w:r>
    </w:p>
    <w:p w14:paraId="13CA5701">
      <w:pPr>
        <w:spacing w:line="360" w:lineRule="auto"/>
        <w:ind w:firstLine="420" w:firstLineChars="20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3.材质采用耐高温硅胶或其他耐高温耐腐蚀先进材料。</w:t>
      </w:r>
    </w:p>
    <w:p w14:paraId="0BE09BA5">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4.密封圈整体使用寿命≥6个月</w:t>
      </w:r>
    </w:p>
    <w:p w14:paraId="77848AE6">
      <w:pPr>
        <w:spacing w:line="360" w:lineRule="auto"/>
        <w:ind w:firstLine="420" w:firstLineChars="200"/>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5.密封圈使用寿命内，不得出现击碎、裂纹、等现象。</w:t>
      </w:r>
    </w:p>
    <w:p w14:paraId="0E68557D">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3"/>
        <w:tblW w:w="4511" w:type="pct"/>
        <w:tblInd w:w="0" w:type="dxa"/>
        <w:tblLayout w:type="autofit"/>
        <w:tblCellMar>
          <w:top w:w="0" w:type="dxa"/>
          <w:left w:w="108" w:type="dxa"/>
          <w:bottom w:w="0" w:type="dxa"/>
          <w:right w:w="108" w:type="dxa"/>
        </w:tblCellMar>
      </w:tblPr>
      <w:tblGrid>
        <w:gridCol w:w="593"/>
        <w:gridCol w:w="1156"/>
        <w:gridCol w:w="2909"/>
        <w:gridCol w:w="1139"/>
        <w:gridCol w:w="1315"/>
        <w:gridCol w:w="1527"/>
      </w:tblGrid>
      <w:tr w14:paraId="3C655271">
        <w:tblPrEx>
          <w:tblCellMar>
            <w:top w:w="0" w:type="dxa"/>
            <w:left w:w="108" w:type="dxa"/>
            <w:bottom w:w="0" w:type="dxa"/>
            <w:right w:w="108" w:type="dxa"/>
          </w:tblCellMar>
        </w:tblPrEx>
        <w:trPr>
          <w:trHeight w:val="400" w:hRule="atLeast"/>
        </w:trPr>
        <w:tc>
          <w:tcPr>
            <w:tcW w:w="343" w:type="pct"/>
            <w:vMerge w:val="restart"/>
            <w:tcBorders>
              <w:top w:val="single" w:color="auto" w:sz="4" w:space="0"/>
              <w:left w:val="single" w:color="auto" w:sz="4" w:space="0"/>
              <w:bottom w:val="single" w:color="auto" w:sz="4" w:space="0"/>
              <w:right w:val="single" w:color="auto" w:sz="4" w:space="0"/>
            </w:tcBorders>
            <w:noWrap w:val="0"/>
            <w:vAlign w:val="center"/>
          </w:tcPr>
          <w:p w14:paraId="7CE6BE9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69" w:type="pct"/>
            <w:vMerge w:val="restart"/>
            <w:tcBorders>
              <w:top w:val="single" w:color="auto" w:sz="4" w:space="0"/>
              <w:left w:val="single" w:color="auto" w:sz="4" w:space="0"/>
              <w:bottom w:val="single" w:color="auto" w:sz="4" w:space="0"/>
              <w:right w:val="single" w:color="auto" w:sz="4" w:space="0"/>
            </w:tcBorders>
            <w:noWrap w:val="0"/>
            <w:vAlign w:val="center"/>
          </w:tcPr>
          <w:p w14:paraId="48890C7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683" w:type="pct"/>
            <w:vMerge w:val="restart"/>
            <w:tcBorders>
              <w:top w:val="single" w:color="auto" w:sz="4" w:space="0"/>
              <w:left w:val="single" w:color="auto" w:sz="4" w:space="0"/>
              <w:bottom w:val="single" w:color="auto" w:sz="4" w:space="0"/>
              <w:right w:val="single" w:color="auto" w:sz="4" w:space="0"/>
            </w:tcBorders>
            <w:noWrap w:val="0"/>
            <w:vAlign w:val="center"/>
          </w:tcPr>
          <w:p w14:paraId="4C17DA6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59" w:type="pct"/>
            <w:vMerge w:val="restart"/>
            <w:tcBorders>
              <w:top w:val="single" w:color="auto" w:sz="4" w:space="0"/>
              <w:left w:val="single" w:color="auto" w:sz="4" w:space="0"/>
              <w:bottom w:val="single" w:color="auto" w:sz="4" w:space="0"/>
              <w:right w:val="single" w:color="auto" w:sz="4" w:space="0"/>
            </w:tcBorders>
            <w:noWrap w:val="0"/>
            <w:vAlign w:val="center"/>
          </w:tcPr>
          <w:p w14:paraId="34B68B7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1644" w:type="pct"/>
            <w:gridSpan w:val="2"/>
            <w:tcBorders>
              <w:top w:val="single" w:color="auto" w:sz="4" w:space="0"/>
              <w:left w:val="nil"/>
              <w:bottom w:val="single" w:color="auto" w:sz="4" w:space="0"/>
              <w:right w:val="single" w:color="auto" w:sz="4" w:space="0"/>
            </w:tcBorders>
            <w:noWrap w:val="0"/>
            <w:vAlign w:val="center"/>
          </w:tcPr>
          <w:p w14:paraId="41597A8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19310FDE">
        <w:tblPrEx>
          <w:tblCellMar>
            <w:top w:w="0" w:type="dxa"/>
            <w:left w:w="108" w:type="dxa"/>
            <w:bottom w:w="0" w:type="dxa"/>
            <w:right w:w="108" w:type="dxa"/>
          </w:tblCellMar>
        </w:tblPrEx>
        <w:trPr>
          <w:trHeight w:val="400" w:hRule="atLeast"/>
        </w:trPr>
        <w:tc>
          <w:tcPr>
            <w:tcW w:w="343" w:type="pct"/>
            <w:vMerge w:val="continue"/>
            <w:tcBorders>
              <w:top w:val="single" w:color="auto" w:sz="4" w:space="0"/>
              <w:left w:val="single" w:color="auto" w:sz="4" w:space="0"/>
              <w:bottom w:val="single" w:color="auto" w:sz="4" w:space="0"/>
              <w:right w:val="single" w:color="auto" w:sz="4" w:space="0"/>
            </w:tcBorders>
            <w:noWrap w:val="0"/>
            <w:vAlign w:val="center"/>
          </w:tcPr>
          <w:p w14:paraId="1C24C956">
            <w:pPr>
              <w:widowControl/>
              <w:spacing w:line="360" w:lineRule="auto"/>
              <w:jc w:val="center"/>
              <w:rPr>
                <w:rFonts w:hint="eastAsia" w:ascii="仿宋" w:hAnsi="仿宋" w:eastAsia="仿宋" w:cs="仿宋"/>
                <w:color w:val="auto"/>
                <w:sz w:val="21"/>
                <w:szCs w:val="21"/>
                <w:highlight w:val="none"/>
              </w:rPr>
            </w:pPr>
          </w:p>
        </w:tc>
        <w:tc>
          <w:tcPr>
            <w:tcW w:w="669" w:type="pct"/>
            <w:vMerge w:val="continue"/>
            <w:tcBorders>
              <w:top w:val="single" w:color="auto" w:sz="4" w:space="0"/>
              <w:left w:val="single" w:color="auto" w:sz="4" w:space="0"/>
              <w:bottom w:val="single" w:color="auto" w:sz="4" w:space="0"/>
              <w:right w:val="single" w:color="auto" w:sz="4" w:space="0"/>
            </w:tcBorders>
            <w:noWrap w:val="0"/>
            <w:vAlign w:val="center"/>
          </w:tcPr>
          <w:p w14:paraId="01020962">
            <w:pPr>
              <w:widowControl/>
              <w:spacing w:line="360" w:lineRule="auto"/>
              <w:jc w:val="center"/>
              <w:rPr>
                <w:rFonts w:hint="eastAsia" w:ascii="仿宋" w:hAnsi="仿宋" w:eastAsia="仿宋" w:cs="仿宋"/>
                <w:color w:val="auto"/>
                <w:sz w:val="21"/>
                <w:szCs w:val="21"/>
                <w:highlight w:val="none"/>
              </w:rPr>
            </w:pPr>
          </w:p>
        </w:tc>
        <w:tc>
          <w:tcPr>
            <w:tcW w:w="1683" w:type="pct"/>
            <w:vMerge w:val="continue"/>
            <w:tcBorders>
              <w:top w:val="single" w:color="auto" w:sz="4" w:space="0"/>
              <w:left w:val="single" w:color="auto" w:sz="4" w:space="0"/>
              <w:bottom w:val="single" w:color="auto" w:sz="4" w:space="0"/>
              <w:right w:val="single" w:color="auto" w:sz="4" w:space="0"/>
            </w:tcBorders>
            <w:noWrap w:val="0"/>
            <w:vAlign w:val="center"/>
          </w:tcPr>
          <w:p w14:paraId="40A453A5">
            <w:pPr>
              <w:widowControl/>
              <w:spacing w:line="360" w:lineRule="auto"/>
              <w:jc w:val="center"/>
              <w:rPr>
                <w:rFonts w:hint="eastAsia" w:ascii="仿宋" w:hAnsi="仿宋" w:eastAsia="仿宋" w:cs="仿宋"/>
                <w:color w:val="auto"/>
                <w:sz w:val="21"/>
                <w:szCs w:val="21"/>
                <w:highlight w:val="none"/>
              </w:rPr>
            </w:pPr>
          </w:p>
        </w:tc>
        <w:tc>
          <w:tcPr>
            <w:tcW w:w="659" w:type="pct"/>
            <w:vMerge w:val="continue"/>
            <w:tcBorders>
              <w:top w:val="single" w:color="auto" w:sz="4" w:space="0"/>
              <w:left w:val="single" w:color="auto" w:sz="4" w:space="0"/>
              <w:bottom w:val="single" w:color="auto" w:sz="4" w:space="0"/>
              <w:right w:val="single" w:color="auto" w:sz="4" w:space="0"/>
            </w:tcBorders>
            <w:noWrap w:val="0"/>
            <w:vAlign w:val="center"/>
          </w:tcPr>
          <w:p w14:paraId="2469005C">
            <w:pPr>
              <w:widowControl/>
              <w:spacing w:line="360" w:lineRule="auto"/>
              <w:jc w:val="center"/>
              <w:rPr>
                <w:rFonts w:hint="eastAsia" w:ascii="仿宋" w:hAnsi="仿宋" w:eastAsia="仿宋" w:cs="仿宋"/>
                <w:color w:val="auto"/>
                <w:sz w:val="21"/>
                <w:szCs w:val="21"/>
                <w:highlight w:val="none"/>
              </w:rPr>
            </w:pPr>
          </w:p>
        </w:tc>
        <w:tc>
          <w:tcPr>
            <w:tcW w:w="761" w:type="pct"/>
            <w:tcBorders>
              <w:top w:val="nil"/>
              <w:left w:val="nil"/>
              <w:bottom w:val="single" w:color="auto" w:sz="4" w:space="0"/>
              <w:right w:val="single" w:color="auto" w:sz="4" w:space="0"/>
            </w:tcBorders>
            <w:noWrap w:val="0"/>
            <w:vAlign w:val="center"/>
          </w:tcPr>
          <w:p w14:paraId="074DCB5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882" w:type="pct"/>
            <w:tcBorders>
              <w:top w:val="nil"/>
              <w:left w:val="nil"/>
              <w:bottom w:val="single" w:color="auto" w:sz="4" w:space="0"/>
              <w:right w:val="single" w:color="auto" w:sz="4" w:space="0"/>
            </w:tcBorders>
            <w:noWrap w:val="0"/>
            <w:vAlign w:val="center"/>
          </w:tcPr>
          <w:p w14:paraId="29721EF3">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5CA0164A">
        <w:tblPrEx>
          <w:tblCellMar>
            <w:top w:w="0" w:type="dxa"/>
            <w:left w:w="108" w:type="dxa"/>
            <w:bottom w:w="0" w:type="dxa"/>
            <w:right w:w="108" w:type="dxa"/>
          </w:tblCellMar>
        </w:tblPrEx>
        <w:trPr>
          <w:trHeight w:val="573" w:hRule="atLeast"/>
        </w:trPr>
        <w:tc>
          <w:tcPr>
            <w:tcW w:w="343" w:type="pct"/>
            <w:tcBorders>
              <w:top w:val="nil"/>
              <w:left w:val="single" w:color="auto" w:sz="4" w:space="0"/>
              <w:bottom w:val="single" w:color="auto" w:sz="4" w:space="0"/>
              <w:right w:val="single" w:color="auto" w:sz="4" w:space="0"/>
            </w:tcBorders>
            <w:noWrap w:val="0"/>
            <w:vAlign w:val="center"/>
          </w:tcPr>
          <w:p w14:paraId="51BD1A6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69" w:type="pct"/>
            <w:tcBorders>
              <w:top w:val="nil"/>
              <w:left w:val="nil"/>
              <w:bottom w:val="single" w:color="auto" w:sz="4" w:space="0"/>
              <w:right w:val="single" w:color="auto" w:sz="4" w:space="0"/>
            </w:tcBorders>
            <w:shd w:val="clear" w:color="auto" w:fill="auto"/>
            <w:noWrap w:val="0"/>
            <w:vAlign w:val="center"/>
          </w:tcPr>
          <w:p w14:paraId="4C5AF48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70361159</w:t>
            </w:r>
          </w:p>
        </w:tc>
        <w:tc>
          <w:tcPr>
            <w:tcW w:w="1683" w:type="pct"/>
            <w:tcBorders>
              <w:top w:val="nil"/>
              <w:left w:val="nil"/>
              <w:bottom w:val="single" w:color="auto" w:sz="4" w:space="0"/>
              <w:right w:val="single" w:color="auto" w:sz="4" w:space="0"/>
            </w:tcBorders>
            <w:noWrap w:val="0"/>
            <w:vAlign w:val="center"/>
          </w:tcPr>
          <w:p w14:paraId="14D4863F">
            <w:pPr>
              <w:pStyle w:val="12"/>
              <w:keepNext w:val="0"/>
              <w:keepLines w:val="0"/>
              <w:widowControl/>
              <w:suppressLineNumbers w:val="0"/>
              <w:spacing w:before="0" w:beforeAutospacing="0" w:after="0" w:afterAutospacing="0"/>
              <w:ind w:left="0" w:right="0" w:firstLine="0"/>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下密阀板密封圈D3302-02 耐高温硅胶 T≥315℃</w:t>
            </w:r>
          </w:p>
          <w:p w14:paraId="664A6F44">
            <w:pPr>
              <w:spacing w:line="360" w:lineRule="auto"/>
              <w:jc w:val="center"/>
              <w:rPr>
                <w:rFonts w:hint="eastAsia" w:ascii="仿宋" w:hAnsi="仿宋" w:eastAsia="仿宋" w:cs="仿宋"/>
                <w:color w:val="auto"/>
                <w:sz w:val="21"/>
                <w:szCs w:val="21"/>
                <w:highlight w:val="none"/>
              </w:rPr>
            </w:pPr>
          </w:p>
        </w:tc>
        <w:tc>
          <w:tcPr>
            <w:tcW w:w="659" w:type="pct"/>
            <w:tcBorders>
              <w:top w:val="nil"/>
              <w:left w:val="nil"/>
              <w:bottom w:val="single" w:color="auto" w:sz="4" w:space="0"/>
              <w:right w:val="single" w:color="auto" w:sz="4" w:space="0"/>
            </w:tcBorders>
            <w:noWrap w:val="0"/>
            <w:vAlign w:val="center"/>
          </w:tcPr>
          <w:p w14:paraId="04DAF8A2">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2件</w:t>
            </w:r>
          </w:p>
        </w:tc>
        <w:tc>
          <w:tcPr>
            <w:tcW w:w="761" w:type="pct"/>
            <w:tcBorders>
              <w:top w:val="nil"/>
              <w:left w:val="nil"/>
              <w:bottom w:val="single" w:color="auto" w:sz="4" w:space="0"/>
              <w:right w:val="single" w:color="auto" w:sz="4" w:space="0"/>
            </w:tcBorders>
            <w:noWrap w:val="0"/>
            <w:vAlign w:val="center"/>
          </w:tcPr>
          <w:p w14:paraId="3EAF3D3F">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882" w:type="pct"/>
            <w:tcBorders>
              <w:top w:val="nil"/>
              <w:left w:val="nil"/>
              <w:bottom w:val="single" w:color="auto" w:sz="4" w:space="0"/>
              <w:right w:val="single" w:color="auto" w:sz="4" w:space="0"/>
            </w:tcBorders>
            <w:noWrap w:val="0"/>
            <w:vAlign w:val="center"/>
          </w:tcPr>
          <w:p w14:paraId="07371CBF">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05DDC8BE">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密封圈必须与现场安装尺寸一致，与提供图纸相符，确保提供的密封圈能够完全的备用和互换。</w:t>
      </w:r>
    </w:p>
    <w:p w14:paraId="6957C615">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3ADB7414">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C72E7D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16ED92F4">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r>
        <w:rPr>
          <w:rFonts w:hint="eastAsia" w:ascii="仿宋" w:hAnsi="仿宋" w:eastAsia="仿宋" w:cs="仿宋"/>
          <w:color w:val="auto"/>
          <w:kern w:val="2"/>
          <w:sz w:val="21"/>
          <w:szCs w:val="21"/>
          <w:highlight w:val="none"/>
          <w:lang w:eastAsia="zh-CN"/>
        </w:rPr>
        <w:t>；</w:t>
      </w:r>
    </w:p>
    <w:p w14:paraId="06933B9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r>
        <w:rPr>
          <w:rFonts w:hint="eastAsia" w:ascii="仿宋" w:hAnsi="仿宋" w:eastAsia="仿宋" w:cs="仿宋"/>
          <w:color w:val="auto"/>
          <w:kern w:val="2"/>
          <w:sz w:val="21"/>
          <w:szCs w:val="21"/>
          <w:highlight w:val="none"/>
          <w:lang w:eastAsia="zh-CN"/>
        </w:rPr>
        <w:t>；</w:t>
      </w:r>
    </w:p>
    <w:p w14:paraId="3B2AE5BB">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产品合格证、使用说明书、备件图纸；</w:t>
      </w:r>
    </w:p>
    <w:p w14:paraId="6BE0C59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kern w:val="2"/>
          <w:sz w:val="21"/>
          <w:szCs w:val="21"/>
          <w:highlight w:val="none"/>
          <w:lang w:val="en-US" w:eastAsia="zh-CN"/>
        </w:rPr>
        <w:t>检验报告书；</w:t>
      </w:r>
    </w:p>
    <w:p w14:paraId="6D4AE198">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kern w:val="2"/>
          <w:sz w:val="21"/>
          <w:szCs w:val="21"/>
          <w:highlight w:val="none"/>
          <w:lang w:val="en-US" w:eastAsia="zh-CN"/>
        </w:rPr>
        <w:t>质量保证书。</w:t>
      </w:r>
    </w:p>
    <w:p w14:paraId="4A90FE79">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E2593F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6945030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41ED41CE">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1A441CE1">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5ECEA44B">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172C224E">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乙方制</w:t>
      </w:r>
      <w:r>
        <w:rPr>
          <w:rFonts w:hint="eastAsia" w:ascii="仿宋" w:hAnsi="仿宋" w:eastAsia="仿宋" w:cs="仿宋"/>
          <w:color w:val="auto"/>
          <w:szCs w:val="21"/>
          <w:highlight w:val="none"/>
          <w:lang w:eastAsia="zh-CN"/>
        </w:rPr>
        <w:t>造</w:t>
      </w:r>
      <w:r>
        <w:rPr>
          <w:rFonts w:hint="eastAsia" w:ascii="仿宋" w:hAnsi="仿宋" w:eastAsia="仿宋" w:cs="仿宋"/>
          <w:color w:val="auto"/>
          <w:szCs w:val="21"/>
          <w:highlight w:val="none"/>
        </w:rPr>
        <w:t>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必须满足技术参数及技术要求，能准确无误的安装到现</w:t>
      </w:r>
      <w:r>
        <w:rPr>
          <w:rFonts w:hint="eastAsia" w:ascii="仿宋" w:hAnsi="仿宋" w:eastAsia="仿宋" w:cs="仿宋"/>
          <w:color w:val="auto"/>
          <w:szCs w:val="21"/>
          <w:highlight w:val="none"/>
          <w:lang w:eastAsia="zh-CN"/>
        </w:rPr>
        <w:t>场</w:t>
      </w:r>
      <w:r>
        <w:rPr>
          <w:rFonts w:hint="eastAsia" w:ascii="仿宋" w:hAnsi="仿宋" w:eastAsia="仿宋" w:cs="仿宋"/>
          <w:color w:val="auto"/>
          <w:szCs w:val="21"/>
          <w:highlight w:val="none"/>
        </w:rPr>
        <w:t>基础和设备上。</w:t>
      </w:r>
    </w:p>
    <w:p w14:paraId="19F3C76F">
      <w:pPr>
        <w:pStyle w:val="9"/>
        <w:spacing w:line="360" w:lineRule="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甲方对乙方提供的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进行入厂检验</w:t>
      </w:r>
      <w:r>
        <w:rPr>
          <w:rFonts w:hint="eastAsia" w:ascii="仿宋" w:hAnsi="仿宋" w:eastAsia="仿宋" w:cs="仿宋"/>
          <w:color w:val="auto"/>
          <w:szCs w:val="21"/>
          <w:highlight w:val="none"/>
          <w:lang w:eastAsia="zh-CN"/>
        </w:rPr>
        <w:t>。</w:t>
      </w:r>
    </w:p>
    <w:p w14:paraId="52126613">
      <w:pPr>
        <w:pStyle w:val="9"/>
        <w:spacing w:line="360" w:lineRule="auto"/>
        <w:rPr>
          <w:rFonts w:hint="eastAsia" w:ascii="仿宋" w:hAnsi="仿宋" w:eastAsia="仿宋" w:cs="仿宋"/>
          <w:b w:val="0"/>
          <w:bCs w:val="0"/>
          <w:color w:val="auto"/>
          <w:kern w:val="2"/>
          <w:sz w:val="21"/>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使</w:t>
      </w:r>
      <w:r>
        <w:rPr>
          <w:rFonts w:hint="eastAsia" w:ascii="仿宋" w:hAnsi="仿宋" w:eastAsia="仿宋" w:cs="仿宋"/>
          <w:color w:val="auto"/>
          <w:szCs w:val="21"/>
          <w:highlight w:val="none"/>
        </w:rPr>
        <w:t>用中甲方发现乙方提供的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存在不能正常使用的原因或缺陷时，甲方将</w:t>
      </w:r>
      <w:r>
        <w:rPr>
          <w:rFonts w:hint="eastAsia" w:ascii="仿宋" w:hAnsi="仿宋" w:eastAsia="仿宋" w:cs="仿宋"/>
          <w:color w:val="auto"/>
          <w:szCs w:val="21"/>
          <w:highlight w:val="none"/>
          <w:lang w:eastAsia="zh-CN"/>
        </w:rPr>
        <w:t>停止使</w:t>
      </w:r>
      <w:r>
        <w:rPr>
          <w:rFonts w:hint="eastAsia" w:ascii="仿宋" w:hAnsi="仿宋" w:eastAsia="仿宋" w:cs="仿宋"/>
          <w:color w:val="auto"/>
          <w:szCs w:val="21"/>
          <w:highlight w:val="none"/>
        </w:rPr>
        <w:t>用，并通知乙方，乙方须在</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个工作日内到甲方现场处理。由双方进行现场确认，经共同确认后认定由于乙方制造</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包装运输原因而产生的质量问题，甲方不支付乙方任何费用。经甲方同意且不影响设备性能、可快速修复的前提下可进行现场快速修复并重新</w:t>
      </w:r>
      <w:r>
        <w:rPr>
          <w:rFonts w:hint="eastAsia" w:ascii="仿宋" w:hAnsi="仿宋" w:eastAsia="仿宋" w:cs="仿宋"/>
          <w:color w:val="auto"/>
          <w:szCs w:val="21"/>
          <w:highlight w:val="none"/>
          <w:lang w:eastAsia="zh-CN"/>
        </w:rPr>
        <w:t>投入使用</w:t>
      </w:r>
      <w:r>
        <w:rPr>
          <w:rFonts w:hint="eastAsia" w:ascii="仿宋" w:hAnsi="仿宋" w:eastAsia="仿宋" w:cs="仿宋"/>
          <w:color w:val="auto"/>
          <w:szCs w:val="21"/>
          <w:highlight w:val="none"/>
        </w:rPr>
        <w:t>。</w:t>
      </w:r>
    </w:p>
    <w:p w14:paraId="7FD3B1AD">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1731FC1F">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bookmarkStart w:id="1" w:name="_GoBack"/>
      <w:bookmarkEnd w:id="1"/>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189BF874">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2DA7AD71">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2E875F81">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3919038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797C87DB">
      <w:pPr>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3D7E075F">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6585D90F">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0220AC63">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FEA5B">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ZjViMzY2ZGExZWRkYmMwZmE2ODc3MDkzODEyZjE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A2BED"/>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1C046DD"/>
    <w:rsid w:val="03DF3D4F"/>
    <w:rsid w:val="045A41EA"/>
    <w:rsid w:val="04931259"/>
    <w:rsid w:val="08416F2D"/>
    <w:rsid w:val="09075302"/>
    <w:rsid w:val="0A502357"/>
    <w:rsid w:val="0AF75787"/>
    <w:rsid w:val="0C693DF6"/>
    <w:rsid w:val="0D99746B"/>
    <w:rsid w:val="0F6949B9"/>
    <w:rsid w:val="0FA7334B"/>
    <w:rsid w:val="11AC1D80"/>
    <w:rsid w:val="14417777"/>
    <w:rsid w:val="14A213F8"/>
    <w:rsid w:val="15443E1D"/>
    <w:rsid w:val="15B8653A"/>
    <w:rsid w:val="15C0276A"/>
    <w:rsid w:val="17B55FF2"/>
    <w:rsid w:val="18A90670"/>
    <w:rsid w:val="190D30A5"/>
    <w:rsid w:val="1A9210DE"/>
    <w:rsid w:val="1AE02230"/>
    <w:rsid w:val="1B3D0FC9"/>
    <w:rsid w:val="1C3A718F"/>
    <w:rsid w:val="1C7B427A"/>
    <w:rsid w:val="1D0E6271"/>
    <w:rsid w:val="205F020B"/>
    <w:rsid w:val="21B41C90"/>
    <w:rsid w:val="262C11AD"/>
    <w:rsid w:val="264D6D44"/>
    <w:rsid w:val="274A49E9"/>
    <w:rsid w:val="29796396"/>
    <w:rsid w:val="2BAD5B8F"/>
    <w:rsid w:val="2C9A5FCD"/>
    <w:rsid w:val="2D34414E"/>
    <w:rsid w:val="2E6F308E"/>
    <w:rsid w:val="2F5A6DBC"/>
    <w:rsid w:val="2F5F53F2"/>
    <w:rsid w:val="30504CC1"/>
    <w:rsid w:val="30D2231F"/>
    <w:rsid w:val="31333F60"/>
    <w:rsid w:val="316F691B"/>
    <w:rsid w:val="34F76C36"/>
    <w:rsid w:val="38822413"/>
    <w:rsid w:val="39481A9A"/>
    <w:rsid w:val="397A0981"/>
    <w:rsid w:val="3C6C4F44"/>
    <w:rsid w:val="3E3770BC"/>
    <w:rsid w:val="3EAF1EBE"/>
    <w:rsid w:val="400A0C2B"/>
    <w:rsid w:val="42650422"/>
    <w:rsid w:val="42E82912"/>
    <w:rsid w:val="43AA712C"/>
    <w:rsid w:val="48AE77F9"/>
    <w:rsid w:val="49916AB0"/>
    <w:rsid w:val="4A1D17C2"/>
    <w:rsid w:val="4AB0770B"/>
    <w:rsid w:val="4AB1470B"/>
    <w:rsid w:val="4AB73001"/>
    <w:rsid w:val="4AD35409"/>
    <w:rsid w:val="4C221B23"/>
    <w:rsid w:val="4E02772B"/>
    <w:rsid w:val="4F7E26BC"/>
    <w:rsid w:val="508431D1"/>
    <w:rsid w:val="512C2992"/>
    <w:rsid w:val="51CB2747"/>
    <w:rsid w:val="52543B4B"/>
    <w:rsid w:val="53193986"/>
    <w:rsid w:val="53B546F8"/>
    <w:rsid w:val="56F7330C"/>
    <w:rsid w:val="577F2AA1"/>
    <w:rsid w:val="57F435E4"/>
    <w:rsid w:val="58374651"/>
    <w:rsid w:val="598E6474"/>
    <w:rsid w:val="5A5B7F3B"/>
    <w:rsid w:val="5EB033F0"/>
    <w:rsid w:val="608B2DCE"/>
    <w:rsid w:val="60DD589E"/>
    <w:rsid w:val="61D858B1"/>
    <w:rsid w:val="625E7ACB"/>
    <w:rsid w:val="63424545"/>
    <w:rsid w:val="672D4512"/>
    <w:rsid w:val="67A63303"/>
    <w:rsid w:val="67C4333C"/>
    <w:rsid w:val="6AB0617B"/>
    <w:rsid w:val="6C5E2376"/>
    <w:rsid w:val="6E6F200C"/>
    <w:rsid w:val="6F5D13C7"/>
    <w:rsid w:val="72D75DC2"/>
    <w:rsid w:val="74753B7F"/>
    <w:rsid w:val="74FB6702"/>
    <w:rsid w:val="767C0107"/>
    <w:rsid w:val="78F876E7"/>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character" w:customStyle="1" w:styleId="18">
    <w:name w:val="font01"/>
    <w:basedOn w:val="15"/>
    <w:qFormat/>
    <w:uiPriority w:val="0"/>
    <w:rPr>
      <w:rFonts w:hint="default" w:ascii="Times New Roman" w:hAnsi="Times New Roman" w:cs="Times New Roman"/>
      <w:color w:val="393939"/>
      <w:sz w:val="22"/>
      <w:szCs w:val="22"/>
      <w:u w:val="none"/>
    </w:rPr>
  </w:style>
  <w:style w:type="paragraph" w:customStyle="1" w:styleId="19">
    <w:name w:val=" Char Char Char1 Char Char Char3 Char Char Char Char"/>
    <w:basedOn w:val="1"/>
    <w:qFormat/>
    <w:uiPriority w:val="0"/>
    <w:rPr>
      <w:rFonts w:ascii="Tahoma" w:hAnsi="Tahoma"/>
    </w:rPr>
  </w:style>
  <w:style w:type="paragraph" w:customStyle="1" w:styleId="20">
    <w:name w:val=" Char Char Char1 Char Char Char Char Char Char Char Char Char Char"/>
    <w:basedOn w:val="1"/>
    <w:qFormat/>
    <w:uiPriority w:val="0"/>
    <w:rPr>
      <w:rFonts w:ascii="Tahoma" w:hAnsi="Tahoma"/>
    </w:rPr>
  </w:style>
  <w:style w:type="paragraph" w:customStyle="1" w:styleId="21">
    <w:name w:val="_Style 8"/>
    <w:basedOn w:val="1"/>
    <w:qFormat/>
    <w:uiPriority w:val="0"/>
    <w:rPr>
      <w:rFonts w:ascii="Tahoma" w:hAnsi="Tahoma"/>
    </w:rPr>
  </w:style>
  <w:style w:type="paragraph" w:customStyle="1" w:styleId="22">
    <w:name w:val=" Char"/>
    <w:basedOn w:val="1"/>
    <w:qFormat/>
    <w:uiPriority w:val="0"/>
    <w:rPr>
      <w:rFonts w:ascii="Tahoma" w:hAnsi="Tahoma"/>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4</Pages>
  <Words>1557</Words>
  <Characters>1731</Characters>
  <Lines>16</Lines>
  <Paragraphs>4</Paragraphs>
  <TotalTime>3</TotalTime>
  <ScaleCrop>false</ScaleCrop>
  <LinksUpToDate>false</LinksUpToDate>
  <CharactersWithSpaces>1847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邱啸峪</cp:lastModifiedBy>
  <cp:lastPrinted>2010-06-13T03:59:00Z</cp:lastPrinted>
  <dcterms:modified xsi:type="dcterms:W3CDTF">2026-02-27T09:02:52Z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9976791C8E3A4400817DA3C6FCB8796C_13</vt:lpwstr>
  </property>
  <property fmtid="{D5CDD505-2E9C-101B-9397-08002B2CF9AE}" pid="4" name="KSOTemplateDocerSaveRecord">
    <vt:lpwstr>eyJoZGlkIjoiNDU0ZDJjYzZjZGVjOGYzNjBmNTFjZWQ2NWE4ZTA5MDEiLCJ1c2VySWQiOiIxNDg5MzAwMzY3In0=</vt:lpwstr>
  </property>
</Properties>
</file>